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6566899D" w:rsidR="0038786D" w:rsidRDefault="00CC22AC" w:rsidP="009121FF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CC22AC">
              <w:rPr>
                <w:b/>
              </w:rPr>
              <w:t>H577HHL1647027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2AC99A5D" w:rsidR="0038786D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3A0B6BB7" w14:textId="6275D8C9" w:rsidR="00CC22AC" w:rsidRPr="00CC22AC" w:rsidRDefault="00CC22AC" w:rsidP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C22AC">
              <w:rPr>
                <w:b/>
              </w:rPr>
              <w:t>Nitin V Margi</w:t>
            </w:r>
          </w:p>
          <w:p w14:paraId="16A2AAC6" w14:textId="762B500B" w:rsidR="0038786D" w:rsidRDefault="00CC22A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r w:rsidRPr="00CC22AC">
              <w:rPr>
                <w:b/>
              </w:rPr>
              <w:t>Khushi Nitin Margi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69CCA018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CC22AC">
              <w:rPr>
                <w:b/>
              </w:rPr>
              <w:t xml:space="preserve">Mr. </w:t>
            </w:r>
            <w:r w:rsidR="00CC22AC" w:rsidRPr="00CC22AC">
              <w:rPr>
                <w:b/>
              </w:rPr>
              <w:t>Nitin V Margi</w:t>
            </w:r>
          </w:p>
          <w:p w14:paraId="77B49A5D" w14:textId="66412CF8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CC22A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9987433403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E44FB3B" w:rsidR="0038786D" w:rsidRDefault="003E57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Hl BT</w:t>
            </w:r>
            <w:r w:rsidR="00F2594F" w:rsidRPr="00CC22AC">
              <w:rPr>
                <w:b/>
              </w:rPr>
              <w:t xml:space="preserve"> + Top Up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679B079" w:rsidR="0038786D" w:rsidRDefault="00CC22AC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Mis</w:t>
            </w:r>
            <w:r w:rsidR="008A2B48">
              <w:rPr>
                <w:b/>
              </w:rPr>
              <w:t>s</w:t>
            </w:r>
            <w:r>
              <w:rPr>
                <w:b/>
              </w:rPr>
              <w:t>. Bhoomi (Daughter)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33034555" w14:textId="6B32070D" w:rsidR="00CC22AC" w:rsidRPr="00CC22AC" w:rsidRDefault="00CC22AC" w:rsidP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C22AC">
              <w:rPr>
                <w:b/>
              </w:rPr>
              <w:t>Nitin </w:t>
            </w:r>
            <w:proofErr w:type="spellStart"/>
            <w:r w:rsidRPr="00CC22AC">
              <w:rPr>
                <w:b/>
              </w:rPr>
              <w:t>V</w:t>
            </w:r>
            <w:r>
              <w:rPr>
                <w:b/>
              </w:rPr>
              <w:t>ithoba</w:t>
            </w:r>
            <w:proofErr w:type="spellEnd"/>
            <w:r w:rsidRPr="00CC22AC">
              <w:rPr>
                <w:b/>
              </w:rPr>
              <w:t> Margi</w:t>
            </w:r>
          </w:p>
          <w:p w14:paraId="7F2DC823" w14:textId="77257FA3" w:rsidR="0038786D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r w:rsidRPr="00CC22AC">
              <w:rPr>
                <w:b/>
              </w:rPr>
              <w:t>Khushi Nitin Margi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33C79E9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CC22AC">
              <w:rPr>
                <w:b/>
              </w:rPr>
              <w:t>4445/2022</w:t>
            </w:r>
            <w:r>
              <w:rPr>
                <w:b/>
              </w:rPr>
              <w:t xml:space="preserve">    Dated:</w:t>
            </w:r>
            <w:r w:rsidR="00CC22AC">
              <w:rPr>
                <w:b/>
              </w:rPr>
              <w:t xml:space="preserve"> 30/03/2022</w:t>
            </w:r>
          </w:p>
          <w:p w14:paraId="5028253F" w14:textId="321DA46E" w:rsidR="00971024" w:rsidRDefault="00754381" w:rsidP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329CB392" w:rsidR="0038786D" w:rsidRDefault="00B96F86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1CCC56D">
            <wp:simplePos x="0" y="0"/>
            <wp:positionH relativeFrom="column">
              <wp:posOffset>5855335</wp:posOffset>
            </wp:positionH>
            <wp:positionV relativeFrom="paragraph">
              <wp:posOffset>4359275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9"/>
        <w:gridCol w:w="1354"/>
        <w:gridCol w:w="1600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26BE533" w:rsidR="00B54277" w:rsidRDefault="00CC22AC" w:rsidP="00F25A79">
            <w:pPr>
              <w:spacing w:after="0" w:line="240" w:lineRule="auto"/>
              <w:jc w:val="both"/>
              <w:rPr>
                <w:b/>
              </w:rPr>
            </w:pPr>
            <w:r w:rsidRPr="00CC22AC">
              <w:rPr>
                <w:b/>
              </w:rPr>
              <w:t xml:space="preserve">Flat No. 81, 8th Floor, Building No. T3, New </w:t>
            </w:r>
            <w:proofErr w:type="spellStart"/>
            <w:r w:rsidRPr="00CC22AC">
              <w:rPr>
                <w:b/>
              </w:rPr>
              <w:t>Krittika</w:t>
            </w:r>
            <w:proofErr w:type="spellEnd"/>
            <w:r w:rsidRPr="00CC22AC">
              <w:rPr>
                <w:b/>
              </w:rPr>
              <w:t xml:space="preserve"> CHSL, Akash Ganga </w:t>
            </w:r>
            <w:proofErr w:type="spellStart"/>
            <w:r w:rsidRPr="00CC22AC">
              <w:rPr>
                <w:b/>
              </w:rPr>
              <w:t>Houseing</w:t>
            </w:r>
            <w:proofErr w:type="spellEnd"/>
            <w:r w:rsidRPr="00CC22AC">
              <w:rPr>
                <w:b/>
              </w:rPr>
              <w:t xml:space="preserve"> Complex, Survey No. 57 (Pt), 58 (Pt), 59 (Pt), 60 (Pt), Near Thane Police Ground, </w:t>
            </w:r>
            <w:proofErr w:type="spellStart"/>
            <w:r w:rsidRPr="00CC22AC">
              <w:rPr>
                <w:b/>
              </w:rPr>
              <w:t>Akashganga</w:t>
            </w:r>
            <w:proofErr w:type="spellEnd"/>
            <w:r w:rsidRPr="00CC22AC">
              <w:rPr>
                <w:b/>
              </w:rPr>
              <w:t xml:space="preserve"> Road, Village </w:t>
            </w:r>
            <w:proofErr w:type="spellStart"/>
            <w:r w:rsidRPr="00CC22AC">
              <w:rPr>
                <w:b/>
              </w:rPr>
              <w:t>Majiwada</w:t>
            </w:r>
            <w:proofErr w:type="spellEnd"/>
            <w:r w:rsidRPr="00CC22AC">
              <w:rPr>
                <w:b/>
              </w:rPr>
              <w:t>, Thane 400607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20403DEA" w:rsidR="0038786D" w:rsidRPr="00930329" w:rsidRDefault="00CC22AC" w:rsidP="002E1527">
            <w:pPr>
              <w:spacing w:after="0" w:line="240" w:lineRule="auto"/>
              <w:rPr>
                <w:b/>
              </w:rPr>
            </w:pPr>
            <w:r w:rsidRPr="00CC22AC">
              <w:rPr>
                <w:b/>
              </w:rPr>
              <w:t xml:space="preserve">Village </w:t>
            </w:r>
            <w:proofErr w:type="spellStart"/>
            <w:r w:rsidRPr="00CC22AC">
              <w:rPr>
                <w:b/>
              </w:rPr>
              <w:t>Majiwada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E5A6D7F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C241B" w:rsidRPr="00CC22AC">
              <w:rPr>
                <w:b/>
              </w:rPr>
              <w:t>Thane Police Ground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B28873F" w:rsidR="0038786D" w:rsidRPr="00892650" w:rsidRDefault="00F37BE2" w:rsidP="009121FF">
            <w:pPr>
              <w:spacing w:after="0" w:line="240" w:lineRule="auto"/>
            </w:pPr>
            <w:r>
              <w:rPr>
                <w:b/>
              </w:rPr>
              <w:t xml:space="preserve">2.9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4E830D32" w:rsidR="0038786D" w:rsidRPr="00892650" w:rsidRDefault="00F37BE2" w:rsidP="002E1527">
            <w:pPr>
              <w:spacing w:after="0" w:line="240" w:lineRule="auto"/>
              <w:rPr>
                <w:b/>
              </w:rPr>
            </w:pPr>
            <w:r w:rsidRPr="00F37BE2">
              <w:rPr>
                <w:b/>
              </w:rPr>
              <w:t>19.203142510559758, 72.98613443398116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B3CCE85" w:rsidR="00941564" w:rsidRPr="003D171E" w:rsidRDefault="00CC22AC" w:rsidP="00F25A79">
            <w:pPr>
              <w:spacing w:after="0" w:line="240" w:lineRule="auto"/>
              <w:rPr>
                <w:b/>
              </w:rPr>
            </w:pPr>
            <w:r w:rsidRPr="00CC22AC">
              <w:rPr>
                <w:b/>
              </w:rPr>
              <w:t xml:space="preserve">Flat No-81, 8th Floor, Building No-T-3, New </w:t>
            </w:r>
            <w:proofErr w:type="spellStart"/>
            <w:r w:rsidRPr="00CC22AC">
              <w:rPr>
                <w:b/>
              </w:rPr>
              <w:t>Krittika</w:t>
            </w:r>
            <w:proofErr w:type="spellEnd"/>
            <w:r w:rsidRPr="00CC22AC">
              <w:rPr>
                <w:b/>
              </w:rPr>
              <w:t xml:space="preserve"> C.H.S.L., Akash Ganga </w:t>
            </w:r>
            <w:proofErr w:type="spellStart"/>
            <w:r w:rsidRPr="00CC22AC">
              <w:rPr>
                <w:b/>
              </w:rPr>
              <w:t>Houseing</w:t>
            </w:r>
            <w:proofErr w:type="spellEnd"/>
            <w:r w:rsidRPr="00CC22AC">
              <w:rPr>
                <w:b/>
              </w:rPr>
              <w:t xml:space="preserve"> Complex, </w:t>
            </w:r>
            <w:proofErr w:type="spellStart"/>
            <w:r w:rsidRPr="00CC22AC">
              <w:rPr>
                <w:b/>
              </w:rPr>
              <w:t>Shivaji</w:t>
            </w:r>
            <w:proofErr w:type="spellEnd"/>
            <w:r w:rsidRPr="00CC22AC">
              <w:rPr>
                <w:b/>
              </w:rPr>
              <w:t xml:space="preserve"> Nagar, </w:t>
            </w:r>
            <w:proofErr w:type="spellStart"/>
            <w:r w:rsidRPr="00CC22AC">
              <w:rPr>
                <w:b/>
              </w:rPr>
              <w:t>Rabodi</w:t>
            </w:r>
            <w:proofErr w:type="spellEnd"/>
            <w:r w:rsidRPr="00CC22AC">
              <w:rPr>
                <w:b/>
              </w:rPr>
              <w:t xml:space="preserve"> No-2, Zone No-6/28/4-C, Survey No-57 (Pt.), 58 (Pt.), 59 (Pt.), 60 (Pt.), </w:t>
            </w:r>
            <w:proofErr w:type="spellStart"/>
            <w:r w:rsidRPr="00CC22AC">
              <w:rPr>
                <w:b/>
              </w:rPr>
              <w:t>Majiwada</w:t>
            </w:r>
            <w:proofErr w:type="spellEnd"/>
            <w:r w:rsidRPr="00CC22AC">
              <w:rPr>
                <w:b/>
              </w:rPr>
              <w:t xml:space="preserve"> Village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Pr="00CC22AC">
              <w:rPr>
                <w:b/>
              </w:rPr>
              <w:t>Thane, Maharashtra-400607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632D09C" w:rsidR="0038786D" w:rsidRDefault="00CC22AC" w:rsidP="001F41D5">
            <w:pPr>
              <w:spacing w:after="0" w:line="240" w:lineRule="auto"/>
              <w:rPr>
                <w:u w:val="single"/>
              </w:rPr>
            </w:pPr>
            <w:r w:rsidRPr="00CC22AC">
              <w:rPr>
                <w:b/>
              </w:rPr>
              <w:t xml:space="preserve">Flat No. 81, 8th Floor, Building No. T3, New </w:t>
            </w:r>
            <w:proofErr w:type="spellStart"/>
            <w:r w:rsidRPr="00CC22AC">
              <w:rPr>
                <w:b/>
              </w:rPr>
              <w:t>Krittika</w:t>
            </w:r>
            <w:proofErr w:type="spellEnd"/>
            <w:r w:rsidRPr="00CC22AC">
              <w:rPr>
                <w:b/>
              </w:rPr>
              <w:t xml:space="preserve"> CHSL, Akash Ganga </w:t>
            </w:r>
            <w:proofErr w:type="spellStart"/>
            <w:r w:rsidRPr="00CC22AC">
              <w:rPr>
                <w:b/>
              </w:rPr>
              <w:t>Houseing</w:t>
            </w:r>
            <w:proofErr w:type="spellEnd"/>
            <w:r w:rsidRPr="00CC22AC">
              <w:rPr>
                <w:b/>
              </w:rPr>
              <w:t xml:space="preserve"> Complex, Survey No. 57 (Pt), 58 (Pt), 59 (Pt), 60 (Pt), Near Thane Police Ground, </w:t>
            </w:r>
            <w:proofErr w:type="spellStart"/>
            <w:r w:rsidRPr="00CC22AC">
              <w:rPr>
                <w:b/>
              </w:rPr>
              <w:t>Akashganga</w:t>
            </w:r>
            <w:proofErr w:type="spellEnd"/>
            <w:r w:rsidRPr="00CC22AC">
              <w:rPr>
                <w:b/>
              </w:rPr>
              <w:t xml:space="preserve"> Road, Village </w:t>
            </w:r>
            <w:proofErr w:type="spellStart"/>
            <w:r w:rsidRPr="00CC22AC">
              <w:rPr>
                <w:b/>
              </w:rPr>
              <w:t>Majiwada</w:t>
            </w:r>
            <w:proofErr w:type="spellEnd"/>
            <w:r w:rsidRPr="00CC22AC">
              <w:rPr>
                <w:b/>
              </w:rPr>
              <w:t xml:space="preserve"> Village, Thane 400607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E6D8D79" w:rsidR="0038786D" w:rsidRPr="00971024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CC22A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8FDFB41" w:rsidR="0038786D" w:rsidRPr="00892650" w:rsidRDefault="00CC22AC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B727BAD" w:rsidR="0038786D" w:rsidRPr="00892650" w:rsidRDefault="00CC22AC" w:rsidP="00266DEB">
            <w:pPr>
              <w:spacing w:after="0" w:line="240" w:lineRule="auto"/>
              <w:rPr>
                <w:b/>
              </w:rPr>
            </w:pPr>
            <w:r w:rsidRPr="00CC22AC">
              <w:rPr>
                <w:b/>
              </w:rPr>
              <w:t>400607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31A9250E" w:rsidR="0038786D" w:rsidRPr="00892650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6C1629F" w:rsidR="0038786D" w:rsidRPr="00892650" w:rsidRDefault="00CC22AC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228A4A6C" w:rsidR="0038786D" w:rsidRPr="00892650" w:rsidRDefault="00CC22AC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3089DBDB" w:rsidR="0038786D" w:rsidRPr="00892650" w:rsidRDefault="00CC22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10B9F5F9" w:rsidR="0038786D" w:rsidRPr="00892650" w:rsidRDefault="00CC22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47FC4DB" w:rsidR="0038786D" w:rsidRPr="00892650" w:rsidRDefault="00CC22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901B748" w:rsidR="0038786D" w:rsidRPr="00892650" w:rsidRDefault="00CC22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Shatataraka CHS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F4B326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CE7085">
              <w:rPr>
                <w:b/>
              </w:rPr>
              <w:t>15</w:t>
            </w:r>
            <w:r w:rsidR="00CC22AC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327C3613" w:rsidR="0038786D" w:rsidRPr="00892650" w:rsidRDefault="00CC22AC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1E163FD3" w:rsidR="0038786D" w:rsidRPr="00892650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9D444F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9D444F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Pr="00CC22A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57CB8FB5">
            <wp:simplePos x="0" y="0"/>
            <wp:positionH relativeFrom="column">
              <wp:posOffset>5870575</wp:posOffset>
            </wp:positionH>
            <wp:positionV relativeFrom="paragraph">
              <wp:posOffset>7437755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62C55202" w:rsidR="0038786D" w:rsidRPr="00ED2C95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4E51D653" w:rsidR="0038786D" w:rsidRPr="00ED2C95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4243F0CB" w:rsidR="0038786D" w:rsidRPr="00892650" w:rsidRDefault="00CC22A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736D8656" w:rsidR="00B31F69" w:rsidRPr="0034102D" w:rsidRDefault="00CC2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8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42826FD1" w:rsidR="0038786D" w:rsidRPr="00996D5B" w:rsidRDefault="00CC22AC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60807984" w:rsidR="0038786D" w:rsidRPr="00996D5B" w:rsidRDefault="00CC22A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3697F375" w:rsidR="0038786D" w:rsidRPr="00996D5B" w:rsidRDefault="00CC22A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04DF993B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C22AC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E4CD14" w14:textId="77777777" w:rsidR="0038786D" w:rsidRDefault="00CC22A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520 Sq. Ft</w:t>
            </w:r>
          </w:p>
          <w:p w14:paraId="03A99AD6" w14:textId="779228DC" w:rsidR="00CC22AC" w:rsidRDefault="00CC22A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DF6C284" w:rsidR="0038786D" w:rsidRPr="00CF0895" w:rsidRDefault="00CC22A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34919477" w:rsidR="0038786D" w:rsidRPr="00CF0895" w:rsidRDefault="00CC22AC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1E2B423" w:rsidR="0038786D" w:rsidRDefault="00021C6D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712552E4" w:rsidR="0038786D" w:rsidRPr="003863FA" w:rsidRDefault="00021C6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986AEB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E6451C">
              <w:rPr>
                <w:b/>
              </w:rPr>
              <w:t>17,000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EEA4B6B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E6451C">
              <w:rPr>
                <w:b/>
              </w:rPr>
              <w:t>88,40,000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2D5C4201" w:rsidR="0038786D" w:rsidRPr="003863FA" w:rsidRDefault="00E6451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556A6963" w:rsidR="0038786D" w:rsidRPr="003863FA" w:rsidRDefault="00E6451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0B3F46BB" w:rsidR="0038786D" w:rsidRPr="003863FA" w:rsidRDefault="00E6451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9803B67" w:rsidR="002129FB" w:rsidRDefault="00E6451C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88,40,000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0E39C499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E6451C">
              <w:rPr>
                <w:b/>
              </w:rPr>
              <w:t>60,11,594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4E4FF7E6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6F2944">
              <w:rPr>
                <w:b/>
              </w:rPr>
              <w:t>70,72,000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7F0471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C22AC">
              <w:rPr>
                <w:sz w:val="24"/>
                <w:szCs w:val="24"/>
              </w:rPr>
              <w:t>05/08/2025</w:t>
            </w:r>
          </w:p>
          <w:p w14:paraId="3E372197" w14:textId="317FCED4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C22AC">
              <w:rPr>
                <w:sz w:val="24"/>
                <w:szCs w:val="24"/>
              </w:rPr>
              <w:t>Index II only.</w:t>
            </w:r>
          </w:p>
          <w:p w14:paraId="0F2E72AF" w14:textId="05FEFCFF" w:rsidR="00CC22AC" w:rsidRPr="00F140E5" w:rsidRDefault="00CC22AC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CC22AC"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2BF28F8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CC22AC">
              <w:rPr>
                <w:sz w:val="24"/>
                <w:szCs w:val="24"/>
              </w:rPr>
              <w:t xml:space="preserve">Ajay </w:t>
            </w:r>
            <w:proofErr w:type="spellStart"/>
            <w:r w:rsidR="00CC22AC">
              <w:rPr>
                <w:sz w:val="24"/>
                <w:szCs w:val="24"/>
              </w:rPr>
              <w:t>Songare</w:t>
            </w:r>
            <w:proofErr w:type="spellEnd"/>
            <w:r w:rsidR="00CC22AC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BC55429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C22AC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C22AC">
              <w:rPr>
                <w:sz w:val="24"/>
                <w:szCs w:val="24"/>
              </w:rPr>
              <w:t>653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047AF8D7" w:rsidR="00143DD4" w:rsidRPr="00143DD4" w:rsidRDefault="00CC22AC" w:rsidP="00CC22AC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</w:t>
            </w:r>
            <w:r w:rsidR="00F24F13">
              <w:rPr>
                <w:sz w:val="24"/>
                <w:szCs w:val="24"/>
              </w:rPr>
              <w:t xml:space="preserve">Gross Carpet area </w:t>
            </w:r>
            <w:r>
              <w:rPr>
                <w:sz w:val="24"/>
                <w:szCs w:val="24"/>
              </w:rPr>
              <w:t>520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624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3393732" w:rsidR="00C65241" w:rsidRDefault="00C65241">
      <w:pPr>
        <w:rPr>
          <w:b/>
          <w:u w:val="single"/>
        </w:rPr>
      </w:pPr>
    </w:p>
    <w:p w14:paraId="75077684" w14:textId="3A5AA1CF" w:rsidR="0086518A" w:rsidRDefault="0086518A">
      <w:pPr>
        <w:rPr>
          <w:b/>
          <w:u w:val="single"/>
        </w:rPr>
      </w:pPr>
    </w:p>
    <w:p w14:paraId="41FE65C7" w14:textId="57936C7E" w:rsidR="0086518A" w:rsidRDefault="0086518A">
      <w:pPr>
        <w:rPr>
          <w:b/>
          <w:u w:val="single"/>
        </w:rPr>
      </w:pPr>
    </w:p>
    <w:p w14:paraId="2BF2D6D5" w14:textId="77777777" w:rsidR="0086518A" w:rsidRDefault="0086518A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50D08C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86518A">
        <w:rPr>
          <w:rFonts w:eastAsia="Arial Unicode MS" w:cs="Calibri"/>
          <w:bCs/>
        </w:rPr>
        <w:t>05/08/2025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71854" w14:textId="77777777" w:rsidR="008A5D8E" w:rsidRDefault="008A5D8E" w:rsidP="00354014">
      <w:pPr>
        <w:spacing w:after="0" w:line="240" w:lineRule="auto"/>
      </w:pPr>
      <w:r>
        <w:separator/>
      </w:r>
    </w:p>
  </w:endnote>
  <w:endnote w:type="continuationSeparator" w:id="0">
    <w:p w14:paraId="41B51ED1" w14:textId="77777777" w:rsidR="008A5D8E" w:rsidRDefault="008A5D8E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6B78E71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C22AC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C22AC">
            <w:rPr>
              <w:rFonts w:ascii="Arial" w:hAnsi="Arial" w:cs="Arial"/>
              <w:b/>
              <w:bCs/>
              <w:sz w:val="24"/>
              <w:szCs w:val="24"/>
            </w:rPr>
            <w:t>16239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26C1E" w14:textId="77777777" w:rsidR="008A5D8E" w:rsidRDefault="008A5D8E" w:rsidP="00354014">
      <w:pPr>
        <w:spacing w:after="0" w:line="240" w:lineRule="auto"/>
      </w:pPr>
      <w:r>
        <w:separator/>
      </w:r>
    </w:p>
  </w:footnote>
  <w:footnote w:type="continuationSeparator" w:id="0">
    <w:p w14:paraId="21FA2168" w14:textId="77777777" w:rsidR="008A5D8E" w:rsidRDefault="008A5D8E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8A5D8E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8A5D8E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8A5D8E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1C6D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C241B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E5766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A6036"/>
    <w:rsid w:val="006B4105"/>
    <w:rsid w:val="006D0EAC"/>
    <w:rsid w:val="006D2747"/>
    <w:rsid w:val="006D5091"/>
    <w:rsid w:val="006F2944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6518A"/>
    <w:rsid w:val="00892650"/>
    <w:rsid w:val="0089479C"/>
    <w:rsid w:val="008A2B48"/>
    <w:rsid w:val="008A5D8E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444F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96F8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C22AC"/>
    <w:rsid w:val="00CE1C3D"/>
    <w:rsid w:val="00CE1D56"/>
    <w:rsid w:val="00CE2B42"/>
    <w:rsid w:val="00CE4258"/>
    <w:rsid w:val="00CE7085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6451C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94F"/>
    <w:rsid w:val="00F25A79"/>
    <w:rsid w:val="00F37BE2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C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772">
          <w:marLeft w:val="0"/>
          <w:marRight w:val="0"/>
          <w:marTop w:val="24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8D30-81BF-4BAC-B626-75B722F5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325</cp:revision>
  <dcterms:created xsi:type="dcterms:W3CDTF">2021-06-01T05:25:00Z</dcterms:created>
  <dcterms:modified xsi:type="dcterms:W3CDTF">2025-08-05T12:58:00Z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