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296BED03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5D6001">
              <w:rPr>
                <w:rFonts w:asciiTheme="minorHAnsi" w:hAnsiTheme="minorHAnsi" w:cstheme="minorHAnsi"/>
                <w:sz w:val="18"/>
                <w:szCs w:val="18"/>
              </w:rPr>
              <w:t xml:space="preserve"> 18503</w:t>
            </w:r>
          </w:p>
        </w:tc>
        <w:tc>
          <w:tcPr>
            <w:tcW w:w="1957" w:type="dxa"/>
          </w:tcPr>
          <w:p w14:paraId="3110F125" w14:textId="5A80041A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5D6001">
              <w:rPr>
                <w:rFonts w:eastAsia="Times New Roman" w:cstheme="minorHAnsi"/>
                <w:b/>
                <w:sz w:val="18"/>
                <w:szCs w:val="18"/>
              </w:rPr>
              <w:t>23</w:t>
            </w:r>
            <w:r w:rsidR="008A3D70">
              <w:rPr>
                <w:rFonts w:eastAsia="Times New Roman" w:cstheme="minorHAnsi"/>
                <w:b/>
                <w:sz w:val="18"/>
                <w:szCs w:val="18"/>
              </w:rPr>
              <w:t>/10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/2024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7C2A4DF5" w:rsidR="007C5FED" w:rsidRPr="00452098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61C4EB34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5D6001">
              <w:rPr>
                <w:rFonts w:eastAsia="Times New Roman" w:cstheme="minorHAnsi"/>
                <w:b/>
                <w:sz w:val="18"/>
                <w:szCs w:val="18"/>
              </w:rPr>
              <w:t>22/08/2025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6166377F" w:rsidR="002B23BD" w:rsidRPr="00C1421F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0504909664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475E4B12" w:rsidR="007C5FED" w:rsidRPr="00C1421F" w:rsidRDefault="00B2702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Mr. Rajesh</w:t>
            </w:r>
            <w:r w:rsidR="00C1421F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Rawat</w:t>
            </w:r>
            <w:r w:rsidR="00D9367B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5D6001" w:rsidRPr="00C1421F">
              <w:rPr>
                <w:rFonts w:eastAsia="Times New Roman" w:cstheme="minorHAnsi"/>
                <w:b/>
                <w:sz w:val="18"/>
                <w:szCs w:val="18"/>
              </w:rPr>
              <w:t>(9930996270)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59289B38" w:rsidR="007C5FED" w:rsidRPr="00C1421F" w:rsidRDefault="00DB476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Rajesh Rawat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3ACBFD38" w:rsidR="007C5FED" w:rsidRPr="00C1421F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6B48E70E" w:rsidR="007C5FED" w:rsidRPr="00C1421F" w:rsidRDefault="00DD5CB6" w:rsidP="005D600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Commercial</w:t>
            </w:r>
            <w:r w:rsidR="00E93AC0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8383412" w14:textId="77777777" w:rsidR="00C1421F" w:rsidRPr="00C1421F" w:rsidRDefault="00C1421F" w:rsidP="00C1421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Gala No C 369, APMC Vegetable Market Complex, Plot No.3 &amp; 7, Turbhe Sector 19, Near Post Office, Sector 19 Vashi Road, Turbhe, Thane, Navi Mumbai, 400705, Maharashtra.</w:t>
            </w:r>
          </w:p>
          <w:p w14:paraId="7D12B40D" w14:textId="5A43B06A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1F329372" w14:textId="77777777" w:rsidR="00C1421F" w:rsidRPr="00C1421F" w:rsidRDefault="00C1421F" w:rsidP="00C1421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Gala No C 369, APMC Vegetable Market Complex, Plot No.3 &amp; 7, Turbhe Sector 19, Near Post Office, Sector 19 Vashi Road, Turbhe, Thane, Navi Mumbai, 400705, Maharashtra.</w:t>
            </w:r>
          </w:p>
          <w:p w14:paraId="75807319" w14:textId="71D3B303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C1421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BD9E0B8" w:rsidR="007C5FED" w:rsidRPr="00C1421F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  <w:r w:rsidR="00E93AC0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C1421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C1421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C1421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0AA33653" w:rsidR="007C5FED" w:rsidRPr="00C1421F" w:rsidRDefault="00C1421F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Sanpada </w:t>
            </w:r>
            <w:r w:rsidR="001A3421" w:rsidRPr="00C1421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C1421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1.4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9C351C8" w:rsidR="007C5FED" w:rsidRPr="00C1421F" w:rsidRDefault="00C1421F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Dana Bazar </w:t>
            </w:r>
            <w:r w:rsidR="001A3421" w:rsidRPr="00C1421F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1.2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0E3DD8A2" w:rsidR="007C5FED" w:rsidRPr="00C1421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Near </w:t>
            </w:r>
            <w:r w:rsidR="00C1421F" w:rsidRPr="00C1421F">
              <w:rPr>
                <w:rFonts w:eastAsia="Times New Roman" w:cstheme="minorHAnsi"/>
                <w:b/>
                <w:sz w:val="18"/>
                <w:szCs w:val="18"/>
              </w:rPr>
              <w:t>Post Office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267BD0F" w:rsidR="007C5FED" w:rsidRPr="00C1421F" w:rsidRDefault="00C1421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1.4 </w:t>
            </w:r>
            <w:r w:rsidR="001A3421" w:rsidRPr="00C1421F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C1421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C1421F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C1421F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1525377B" w:rsidR="006A6EE2" w:rsidRPr="00C1421F" w:rsidRDefault="00C1421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24 </w:t>
            </w:r>
            <w:r w:rsidR="00093597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7647F3A4" w:rsidR="007C5FED" w:rsidRPr="00C1421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Owner</w:t>
            </w:r>
            <w:r w:rsidR="005D6001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9EE799F" w:rsidR="007C5FED" w:rsidRPr="00C1421F" w:rsidRDefault="00B2702D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Mr. Rajesh</w:t>
            </w:r>
            <w:r w:rsidR="005D6001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Rawat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37D5A9C6" w:rsidR="007C5FED" w:rsidRPr="00C1421F" w:rsidRDefault="005D600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Self</w:t>
            </w:r>
            <w:r w:rsidR="00DD5CB6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C1421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2D045F77" w:rsidR="007C5FED" w:rsidRPr="00C1421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Site Person </w:t>
            </w:r>
            <w:r w:rsidR="005D6001" w:rsidRPr="00C1421F">
              <w:rPr>
                <w:rFonts w:eastAsia="Times New Roman" w:cstheme="minorHAnsi"/>
                <w:b/>
                <w:sz w:val="18"/>
                <w:szCs w:val="18"/>
              </w:rPr>
              <w:t>Mr. Rajesh Rawat (9930996270)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C1421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C1421F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C1421F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7EA00C4A" w:rsidR="007C5FED" w:rsidRPr="00C1421F" w:rsidRDefault="00C1421F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100+Units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26B2607C" w:rsidR="007C5FED" w:rsidRPr="00C1421F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Gr+1st Floor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5D64D2A1" w:rsidR="007C5FED" w:rsidRPr="00C1421F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No </w:t>
            </w:r>
            <w:r w:rsidR="0041058C" w:rsidRPr="00C1421F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FF1569B" w:rsidR="007C5FED" w:rsidRPr="00C1421F" w:rsidRDefault="005D600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C1421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C1421F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47D0AE39" w:rsidR="007C5FED" w:rsidRPr="00C1421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1421F">
              <w:rPr>
                <w:rFonts w:eastAsia="Times New Roman" w:cstheme="minorHAnsi"/>
                <w:b/>
                <w:sz w:val="18"/>
                <w:szCs w:val="18"/>
              </w:rPr>
              <w:t>BHK</w:t>
            </w:r>
            <w:r w:rsidR="00E442F5" w:rsidRPr="00C1421F">
              <w:rPr>
                <w:rFonts w:eastAsia="Times New Roman" w:cstheme="minorHAnsi"/>
                <w:b/>
                <w:sz w:val="18"/>
                <w:szCs w:val="18"/>
              </w:rPr>
              <w:t xml:space="preserve"> Flat</w:t>
            </w:r>
          </w:p>
        </w:tc>
      </w:tr>
      <w:tr w:rsidR="00E442F5" w:rsidRPr="00C1421F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567678B3" w:rsidR="00E442F5" w:rsidRPr="00C1421F" w:rsidRDefault="005D6001" w:rsidP="00C1421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191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.00 Sq. F.t 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1A015700" w:rsidR="00E442F5" w:rsidRPr="00C1421F" w:rsidRDefault="005D6001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276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.00 Sq. F.t 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E442F5" w:rsidRPr="00C1421F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Road Facing</w:t>
            </w:r>
          </w:p>
        </w:tc>
      </w:tr>
      <w:tr w:rsidR="00E442F5" w:rsidRPr="00C1421F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52C14D4D" w:rsidR="00E442F5" w:rsidRPr="00C1421F" w:rsidRDefault="005D6001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Good 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34164C36" w:rsidR="00E442F5" w:rsidRPr="00C1421F" w:rsidRDefault="005D6001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Good </w:t>
            </w:r>
          </w:p>
        </w:tc>
      </w:tr>
      <w:tr w:rsidR="00E442F5" w:rsidRPr="00C1421F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7CDE713C" w:rsidR="00E442F5" w:rsidRPr="00C1421F" w:rsidRDefault="005D6001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15 Years 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C1421F" w:rsidRDefault="00E442F5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3D720E8A" w:rsidR="00E442F5" w:rsidRPr="00C1421F" w:rsidRDefault="00C1421F" w:rsidP="00E442F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 Years</w:t>
            </w:r>
            <w:r w:rsidR="00E442F5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C1421F" w:rsidRDefault="007C5FED" w:rsidP="00C1421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1270"/>
        <w:gridCol w:w="2204"/>
        <w:gridCol w:w="752"/>
        <w:gridCol w:w="444"/>
        <w:gridCol w:w="487"/>
        <w:gridCol w:w="291"/>
        <w:gridCol w:w="369"/>
        <w:gridCol w:w="165"/>
        <w:gridCol w:w="139"/>
        <w:gridCol w:w="824"/>
        <w:gridCol w:w="754"/>
        <w:gridCol w:w="1106"/>
        <w:gridCol w:w="1630"/>
      </w:tblGrid>
      <w:tr w:rsidR="00452098" w:rsidRPr="00C1421F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C1421F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C1421F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C1421F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C1421F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C1421F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C1421F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C1421F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C1421F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C1421F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C1421F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C1421F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C1421F" w:rsidRDefault="00452098" w:rsidP="00C1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142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C1421F" w:rsidRDefault="00452098" w:rsidP="004C68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DB4760" w:rsidRDefault="000D3A83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ll</w:t>
            </w:r>
            <w:proofErr w:type="spellEnd"/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Verified</w:t>
            </w:r>
            <w:r w:rsidR="003F793E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5D2D9E8" w14:textId="085D825E" w:rsidR="000D3A83" w:rsidRPr="00DB4760" w:rsidRDefault="00C1421F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Ref. No: 667/2010</w:t>
            </w:r>
            <w:r w:rsidR="000D3A83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Dated: 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01/02/2010</w:t>
            </w:r>
          </w:p>
          <w:p w14:paraId="292B66C4" w14:textId="382A9CEC" w:rsidR="00452098" w:rsidRPr="00B2702D" w:rsidRDefault="00452098" w:rsidP="00B27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DB4760" w:rsidRDefault="00996221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Yes</w:t>
            </w:r>
            <w:r w:rsidR="00452098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DB4760" w:rsidRDefault="00996221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  <w:r w:rsidR="00452098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DB4760" w:rsidRDefault="004C6811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  <w:r w:rsidR="00452098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4C681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DB4760" w:rsidRDefault="009860C3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DB4760" w:rsidRDefault="009860C3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Carpet Area As Measured (sq. </w:t>
            </w:r>
            <w:r w:rsidR="00ED0AE7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65EF624" w:rsidR="009860C3" w:rsidRPr="00B2702D" w:rsidRDefault="00C1421F" w:rsidP="00BF7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191</w:t>
            </w:r>
            <w:r w:rsidR="00ED0AE7"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04157A14" w:rsidR="00452098" w:rsidRPr="00B2702D" w:rsidRDefault="00C1421F" w:rsidP="00BF7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250</w:t>
            </w:r>
            <w:r w:rsidR="00ED0AE7"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B2702D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61A0AC8F" w:rsidR="00452098" w:rsidRPr="00452098" w:rsidRDefault="00ED0AE7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/-</w:t>
            </w:r>
            <w:r w:rsidR="00452098"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DB4760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DB4760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(Kindly provide this Rate 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99622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99622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DB4760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DB4760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DB4760" w:rsidRDefault="00452098" w:rsidP="00DB47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DB4760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</w:t>
            </w:r>
            <w:r w:rsidR="00A85DFA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DB4760" w:rsidRDefault="00452098" w:rsidP="00DB47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DB4760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Rupees in words only/-</w:t>
            </w:r>
          </w:p>
        </w:tc>
      </w:tr>
      <w:tr w:rsidR="00452098" w:rsidRPr="00DB4760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DB4760" w:rsidRDefault="00452098" w:rsidP="00DB47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DB4760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DB47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DB4760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DB4760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DB4760" w:rsidRDefault="00452098" w:rsidP="00DB47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DB4760" w:rsidRDefault="009860C3" w:rsidP="009860C3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452098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DB4760" w:rsidRDefault="00452098" w:rsidP="004520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DB4760" w:rsidRDefault="00452098" w:rsidP="004520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DB4760" w:rsidRDefault="00452098" w:rsidP="004520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DB4760" w:rsidRDefault="00452098" w:rsidP="004520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DB4760" w:rsidRDefault="0018434D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DB4760" w:rsidRDefault="0018434D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DB4760" w:rsidRDefault="0018434D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DB4760" w:rsidRDefault="0018434D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44612037" w:rsidR="00452098" w:rsidRPr="00DB4760" w:rsidRDefault="005D6001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Road</w:t>
            </w:r>
          </w:p>
        </w:tc>
        <w:tc>
          <w:tcPr>
            <w:tcW w:w="2248" w:type="dxa"/>
            <w:gridSpan w:val="2"/>
            <w:hideMark/>
          </w:tcPr>
          <w:p w14:paraId="2A73D56D" w14:textId="3C1FFAFF" w:rsidR="00452098" w:rsidRPr="00DB4760" w:rsidRDefault="005D6001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 Block</w:t>
            </w:r>
          </w:p>
        </w:tc>
        <w:tc>
          <w:tcPr>
            <w:tcW w:w="2317" w:type="dxa"/>
            <w:gridSpan w:val="2"/>
            <w:hideMark/>
          </w:tcPr>
          <w:p w14:paraId="38CF6D72" w14:textId="490C7354" w:rsidR="00452098" w:rsidRPr="00DB4760" w:rsidRDefault="005D6001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 Plot</w:t>
            </w:r>
          </w:p>
        </w:tc>
        <w:tc>
          <w:tcPr>
            <w:tcW w:w="1490" w:type="dxa"/>
            <w:gridSpan w:val="2"/>
            <w:hideMark/>
          </w:tcPr>
          <w:p w14:paraId="08A686C2" w14:textId="294A593A" w:rsidR="00452098" w:rsidRPr="00DB4760" w:rsidRDefault="005D6001" w:rsidP="00D256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 Block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159B7F29" w:rsidR="00452098" w:rsidRPr="00DB4760" w:rsidRDefault="00E37BAC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DB4760" w:rsidRDefault="00060DA1" w:rsidP="00D43B4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Remarks:</w:t>
            </w:r>
          </w:p>
          <w:p w14:paraId="2F787C4A" w14:textId="3405093B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1. We have personally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inspected the property on 22/08/2025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14:paraId="3C44EE56" w14:textId="77777777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2073D770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6. Prop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erty inspected by Mr. Aakash Chaure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4DD9A3D" w14:textId="25A9D13C" w:rsidR="0018434D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7. On site we found Mr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 Rajesh Rawat (9930996270)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BD0AC28" w14:textId="376440A9" w:rsidR="00060DA1" w:rsidRPr="00DB4760" w:rsidRDefault="0018434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8. We Have </w:t>
            </w:r>
            <w:r w:rsidR="00CC170D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Received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 Copy Of </w:t>
            </w:r>
            <w:r w:rsid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Index II.</w:t>
            </w:r>
          </w:p>
          <w:p w14:paraId="247A0692" w14:textId="0F294F4C" w:rsidR="00CC170D" w:rsidRPr="00DB4760" w:rsidRDefault="00CC170D" w:rsidP="00CC170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9. As per Measurements Carpet area is 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191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.00 Sq. Ft. Built up area is 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229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19274DC9" w:rsidR="00CC170D" w:rsidRPr="00DB4760" w:rsidRDefault="00CC170D" w:rsidP="00CC170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10. As per Documents Carpet area is 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250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.00 Sq. Ft. Built up is 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300</w:t>
            </w: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.00 Sq. Ft. (Loading 20 percent on Carpet area) and SUBA is .00 Sq. Ft.        (Loading 45 percent on Carpet area).</w:t>
            </w:r>
          </w:p>
          <w:p w14:paraId="1975BAB2" w14:textId="6AF2E47A" w:rsidR="00CC170D" w:rsidRDefault="00CC170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11. </w:t>
            </w:r>
            <w:r w:rsid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 copy of OC, CC, Sale agreement &amp; Approved plan not provided to us.</w:t>
            </w:r>
          </w:p>
          <w:p w14:paraId="52EA47D5" w14:textId="1309E69B" w:rsidR="00B2702D" w:rsidRPr="00DB4760" w:rsidRDefault="00B2702D" w:rsidP="0018434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12.</w:t>
            </w:r>
            <w:r w:rsidRPr="00F7721F">
              <w:rPr>
                <w:b/>
              </w:rPr>
              <w:t xml:space="preserve"> </w:t>
            </w:r>
            <w:r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006F60D3" w14:textId="288C3919" w:rsidR="00E0742B" w:rsidRPr="00DB4760" w:rsidRDefault="00ED33CA" w:rsidP="00E0742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  <w:r w:rsidR="00E0742B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 Occupancy in said building is approximately 80%</w:t>
            </w:r>
          </w:p>
          <w:p w14:paraId="268F9E84" w14:textId="472688BD" w:rsidR="00E0742B" w:rsidRPr="00CC170D" w:rsidRDefault="00ED33CA" w:rsidP="008A3D70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bookmarkStart w:id="0" w:name="_GoBack"/>
            <w:bookmarkEnd w:id="0"/>
            <w:r w:rsidR="00E0742B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 Developmen</w:t>
            </w:r>
            <w:r w:rsidR="005D6001"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 of surroundin</w:t>
            </w:r>
            <w:r w:rsidR="005D6001" w:rsidRPr="00B270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locality Good</w:t>
            </w:r>
            <w:r w:rsidR="005D6001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</w:tr>
      <w:tr w:rsidR="002F70D7" w:rsidRPr="00DB4760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DB4760" w:rsidRDefault="002F70D7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DB4760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DB4760" w:rsidRDefault="002F70D7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DB4760" w:rsidRDefault="00E0742B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60DA1" w:rsidRPr="00DB4760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DB4760" w:rsidRDefault="00060DA1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DB4760" w:rsidRDefault="00E0742B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60DA1" w:rsidRPr="00DB4760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DB4760" w:rsidRDefault="00060DA1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DB4760" w:rsidRDefault="00E0742B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60DA1" w:rsidRPr="00DB4760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DB4760" w:rsidRDefault="00060DA1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DB4760" w:rsidRDefault="00E0742B" w:rsidP="00060DA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8E7951" w:rsidRPr="00DB4760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DB4760" w:rsidRDefault="008E7951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DB4760" w:rsidRDefault="008E7951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360" w:rsidRPr="00DB4760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DB4760" w:rsidRDefault="00452098" w:rsidP="002F70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1A471AD4" w14:textId="5E075264" w:rsidR="005D6001" w:rsidRPr="00DB4760" w:rsidRDefault="005D6001" w:rsidP="005D6001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19.076605297704578</w:t>
            </w:r>
          </w:p>
          <w:p w14:paraId="353467DF" w14:textId="7DEE3ACA" w:rsidR="00176360" w:rsidRPr="00DB4760" w:rsidRDefault="00176360" w:rsidP="0017636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gridSpan w:val="2"/>
          </w:tcPr>
          <w:p w14:paraId="3681A463" w14:textId="244EA0E8" w:rsidR="00176360" w:rsidRPr="00DB4760" w:rsidRDefault="00452098" w:rsidP="0017636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1DF0E959" w:rsidR="00176360" w:rsidRPr="00DB4760" w:rsidRDefault="005D6001" w:rsidP="0017636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47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73.00733826691757</w:t>
            </w:r>
          </w:p>
        </w:tc>
      </w:tr>
    </w:tbl>
    <w:p w14:paraId="57ABDD53" w14:textId="3A2A587B" w:rsidR="00BF75BB" w:rsidRPr="00DB4760" w:rsidRDefault="00BF75BB" w:rsidP="00DB47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</w:rPr>
      </w:pPr>
    </w:p>
    <w:sectPr w:rsidR="00BF75BB" w:rsidRPr="00DB4760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E2D9" w14:textId="77777777" w:rsidR="00214775" w:rsidRDefault="00214775">
      <w:pPr>
        <w:spacing w:after="0" w:line="240" w:lineRule="auto"/>
      </w:pPr>
      <w:r>
        <w:separator/>
      </w:r>
    </w:p>
  </w:endnote>
  <w:endnote w:type="continuationSeparator" w:id="0">
    <w:p w14:paraId="7B2C99CC" w14:textId="77777777" w:rsidR="00214775" w:rsidRDefault="0021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5EE43499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5D6001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5D6001">
      <w:rPr>
        <w:rFonts w:ascii="Arial" w:hAnsi="Arial" w:cs="Arial"/>
        <w:b/>
        <w:bCs/>
        <w:sz w:val="24"/>
        <w:szCs w:val="24"/>
      </w:rPr>
      <w:t>18503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57C64" w14:textId="77777777" w:rsidR="00214775" w:rsidRDefault="00214775">
      <w:pPr>
        <w:spacing w:after="0" w:line="240" w:lineRule="auto"/>
      </w:pPr>
      <w:r>
        <w:separator/>
      </w:r>
    </w:p>
  </w:footnote>
  <w:footnote w:type="continuationSeparator" w:id="0">
    <w:p w14:paraId="1284591A" w14:textId="77777777" w:rsidR="00214775" w:rsidRDefault="0021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214775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214775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214775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4775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363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D6001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2702D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21F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4760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D33CA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C1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1CF4-B70C-446B-9FF6-FDA3B2F8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40</cp:revision>
  <cp:lastPrinted>2016-01-14T11:38:00Z</cp:lastPrinted>
  <dcterms:created xsi:type="dcterms:W3CDTF">2024-07-16T06:27:00Z</dcterms:created>
  <dcterms:modified xsi:type="dcterms:W3CDTF">2025-10-04T12:39:00Z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