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>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0C60F924" w14:textId="7F4288FB" w:rsidR="003F5D3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15168D">
              <w:rPr>
                <w:rFonts w:asciiTheme="minorHAnsi" w:hAnsiTheme="minorHAnsi" w:cstheme="minorHAnsi"/>
                <w:sz w:val="18"/>
                <w:szCs w:val="18"/>
              </w:rPr>
              <w:t>19048</w:t>
            </w:r>
          </w:p>
          <w:p w14:paraId="63BEFD86" w14:textId="368DFA26" w:rsidR="0015168D" w:rsidRPr="00452098" w:rsidRDefault="0015168D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957" w:type="dxa"/>
          </w:tcPr>
          <w:p w14:paraId="3110F125" w14:textId="522FBC8B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15168D">
              <w:rPr>
                <w:rFonts w:eastAsia="Times New Roman" w:cstheme="minorHAnsi"/>
                <w:b/>
                <w:sz w:val="18"/>
                <w:szCs w:val="18"/>
              </w:rPr>
              <w:t>29/08/2025</w:t>
            </w:r>
          </w:p>
        </w:tc>
      </w:tr>
    </w:tbl>
    <w:p w14:paraId="02776BE9" w14:textId="7FC24C1B" w:rsidR="003F5D38" w:rsidRPr="00452098" w:rsidRDefault="0015168D" w:rsidP="00671A2E">
      <w:pPr>
        <w:spacing w:after="0"/>
        <w:rPr>
          <w:rFonts w:eastAsia="Times New Roman" w:cstheme="minorHAnsi"/>
          <w:b/>
          <w:sz w:val="18"/>
          <w:szCs w:val="18"/>
        </w:rPr>
      </w:pPr>
      <w:r>
        <w:rPr>
          <w:rFonts w:eastAsia="Times New Roman" w:cstheme="minorHAnsi"/>
          <w:b/>
          <w:sz w:val="18"/>
          <w:szCs w:val="18"/>
        </w:rPr>
        <w:t xml:space="preserve"> </w:t>
      </w: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6F05BF83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51F4A47B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15168D">
              <w:rPr>
                <w:rFonts w:eastAsia="Times New Roman" w:cstheme="minorHAnsi"/>
                <w:b/>
                <w:sz w:val="18"/>
                <w:szCs w:val="18"/>
              </w:rPr>
              <w:t>28/08/2025</w:t>
            </w:r>
          </w:p>
        </w:tc>
      </w:tr>
      <w:tr w:rsidR="002B23BD" w:rsidRPr="00BA51F1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5422554E" w:rsidR="002B23BD" w:rsidRPr="00BA51F1" w:rsidRDefault="0042715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0504905079</w:t>
            </w:r>
          </w:p>
        </w:tc>
      </w:tr>
      <w:tr w:rsidR="007C5FED" w:rsidRPr="00BA51F1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058A31CA" w:rsidR="007C5FED" w:rsidRPr="00BA51F1" w:rsidRDefault="00BA51F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Reliable Cabin </w:t>
            </w:r>
            <w:r w:rsidR="00427155" w:rsidRPr="00BA51F1">
              <w:rPr>
                <w:rFonts w:eastAsia="Times New Roman" w:cstheme="minorHAnsi"/>
                <w:b/>
                <w:sz w:val="18"/>
                <w:szCs w:val="18"/>
              </w:rPr>
              <w:t>(9930060003)</w:t>
            </w:r>
          </w:p>
        </w:tc>
      </w:tr>
      <w:tr w:rsidR="007C5FED" w:rsidRPr="00BA51F1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BA51F1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036B177E" w:rsidR="007C5FED" w:rsidRPr="00BA51F1" w:rsidRDefault="00BA51F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Reliable Cabin</w:t>
            </w:r>
          </w:p>
        </w:tc>
      </w:tr>
      <w:tr w:rsidR="007C5FED" w:rsidRPr="00BA51F1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07D22BD5" w:rsidR="007C5FED" w:rsidRPr="00BA51F1" w:rsidRDefault="0042715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Commercial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734F8C32" w:rsidR="007C5FED" w:rsidRPr="00BA51F1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Commercial</w:t>
            </w:r>
            <w:r w:rsidR="00E93AC0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BA51F1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192850DD" w14:textId="673D0A96" w:rsidR="00427155" w:rsidRPr="00BA51F1" w:rsidRDefault="00427155" w:rsidP="00427155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Shop No.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10, Base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ment Floor, JVM'S Corner Stone, Hariniwas Circle</w:t>
            </w:r>
            <w:r w:rsidR="000554E1">
              <w:rPr>
                <w:rFonts w:eastAsia="Times New Roman" w:cstheme="minorHAnsi"/>
                <w:b/>
                <w:sz w:val="18"/>
                <w:szCs w:val="18"/>
              </w:rPr>
              <w:t xml:space="preserve">, 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Near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Giriraj Heights,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LBS Marg,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 xml:space="preserve"> Na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upada, Thane West, 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400602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, Maharashtra.</w:t>
            </w:r>
          </w:p>
          <w:p w14:paraId="7D12B40D" w14:textId="5A43B06A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76FC" w:rsidRPr="00BA51F1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1817B680" w14:textId="77777777" w:rsidR="000554E1" w:rsidRPr="00BA51F1" w:rsidRDefault="000554E1" w:rsidP="000554E1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Shop No.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10, Base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ment Floor, JVM'S Corner Stone, Hariniwas Circle,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CTS No.75/B /1 &amp; 2, 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Near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Giriraj Heights,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LBS Marg,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 xml:space="preserve"> Na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upada, Thane West, </w:t>
            </w:r>
            <w:r w:rsidRPr="007105AB">
              <w:rPr>
                <w:rFonts w:eastAsia="Times New Roman" w:cstheme="minorHAnsi"/>
                <w:b/>
                <w:sz w:val="18"/>
                <w:szCs w:val="18"/>
              </w:rPr>
              <w:t>400602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, Maharashtra.</w:t>
            </w:r>
          </w:p>
          <w:p w14:paraId="75807319" w14:textId="71D3B303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276FC" w:rsidRPr="00BA51F1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BA51F1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BA51F1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BA51F1" w:rsidRDefault="003F5D38" w:rsidP="00735038">
      <w:pPr>
        <w:spacing w:after="0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621554FC" w:rsidR="007C5FED" w:rsidRPr="00BA51F1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Commercial </w:t>
            </w:r>
            <w:r w:rsidR="00E93AC0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BA51F1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BA51F1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BA51F1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676A624D" w:rsidR="007C5FED" w:rsidRPr="00BA51F1" w:rsidRDefault="0087497E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Thane </w:t>
            </w:r>
            <w:r w:rsidR="001A3421" w:rsidRPr="00BA51F1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BA51F1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1.3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3A8152FB" w:rsidR="007C5FED" w:rsidRPr="00BA51F1" w:rsidRDefault="0087497E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Wagle Circle </w:t>
            </w:r>
            <w:r w:rsidR="001A3421" w:rsidRPr="00BA51F1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2.4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0B34FDEC" w:rsidR="007C5FED" w:rsidRPr="00BA51F1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Near</w:t>
            </w:r>
            <w:r w:rsidR="00BA51F1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BA51F1" w:rsidRPr="007105AB">
              <w:rPr>
                <w:rFonts w:eastAsia="Times New Roman" w:cstheme="minorHAnsi"/>
                <w:b/>
                <w:sz w:val="18"/>
                <w:szCs w:val="18"/>
              </w:rPr>
              <w:t>Giriraj Heights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774A0F1E" w:rsidR="007C5FED" w:rsidRPr="00BA51F1" w:rsidRDefault="0087497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1.3 </w:t>
            </w:r>
            <w:r w:rsidR="001A3421" w:rsidRPr="00BA51F1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BA51F1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BA51F1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BA51F1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30CAC14D" w:rsidR="006A6EE2" w:rsidRPr="00BA51F1" w:rsidRDefault="0042715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24 </w:t>
            </w:r>
            <w:r w:rsidR="00093597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79D5F98A" w:rsidR="007C5FED" w:rsidRPr="00BA51F1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Tenant</w:t>
            </w:r>
            <w:r w:rsidR="001A3421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3A70603E" w:rsidR="007C5FED" w:rsidRPr="00BA51F1" w:rsidRDefault="00427155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Mrs. Kriti (Tenant)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5B3F572F" w:rsidR="007C5FED" w:rsidRPr="00BA51F1" w:rsidRDefault="00427155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Tenant </w:t>
            </w:r>
            <w:r w:rsidR="00DD5CB6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BA51F1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3D9C1727" w:rsidR="007C5FED" w:rsidRPr="00BA51F1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Site Person </w:t>
            </w:r>
            <w:r w:rsidR="00427155" w:rsidRPr="00BA51F1">
              <w:rPr>
                <w:rFonts w:eastAsia="Times New Roman" w:cstheme="minorHAnsi"/>
                <w:b/>
                <w:sz w:val="18"/>
                <w:szCs w:val="18"/>
              </w:rPr>
              <w:t>Mrs. Kriti (Tenant)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BA51F1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BA51F1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BA51F1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1089F9D5" w:rsidR="007C5FED" w:rsidRPr="00BA51F1" w:rsidRDefault="0042715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5 Shops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3AB9DA51" w:rsidR="007C5FED" w:rsidRPr="00BA51F1" w:rsidRDefault="0042715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Basement+LG+UG+2nd </w:t>
            </w:r>
            <w:r w:rsidR="00DD5CB6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6586714A" w:rsidR="007C5FED" w:rsidRPr="00BA51F1" w:rsidRDefault="00427155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2 </w:t>
            </w:r>
            <w:r w:rsidR="0041058C" w:rsidRPr="00BA51F1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BA51F1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634C4BF5" w:rsidR="007C5FED" w:rsidRPr="00BA51F1" w:rsidRDefault="0015168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Basement</w:t>
            </w:r>
          </w:p>
        </w:tc>
      </w:tr>
      <w:tr w:rsidR="007C5FED" w:rsidRPr="00BA51F1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BA51F1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BA51F1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0E27E1FB" w:rsidR="007C5FED" w:rsidRPr="00BA51F1" w:rsidRDefault="0015168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Shop</w:t>
            </w:r>
          </w:p>
        </w:tc>
      </w:tr>
      <w:tr w:rsidR="00E442F5" w:rsidRPr="00BA51F1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31B5179C" w:rsidR="00E442F5" w:rsidRPr="00BA51F1" w:rsidRDefault="00427155" w:rsidP="00BA51F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563</w:t>
            </w:r>
            <w:r w:rsidR="00E442F5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BA51F1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0B5791B1" w:rsidR="00E442F5" w:rsidRPr="00BA51F1" w:rsidRDefault="0042715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816</w:t>
            </w:r>
            <w:r w:rsidR="00E442F5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BA51F1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BA51F1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BA51F1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307DF7CA" w:rsidR="00E442F5" w:rsidRPr="00BA51F1" w:rsidRDefault="0015168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371242A1" w:rsidR="00E442F5" w:rsidRPr="00BA51F1" w:rsidRDefault="0015168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Good</w:t>
            </w:r>
          </w:p>
        </w:tc>
      </w:tr>
      <w:tr w:rsidR="00E442F5" w:rsidRPr="00BA51F1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4CA11FA0" w:rsidR="00E442F5" w:rsidRPr="00BA51F1" w:rsidRDefault="00427155" w:rsidP="0042715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 Year (As Per OC</w:t>
            </w:r>
            <w:r w:rsidR="000554E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156" w:type="dxa"/>
            <w:hideMark/>
          </w:tcPr>
          <w:p w14:paraId="5EC3B4C4" w14:textId="77777777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7176617A" w:rsidR="00E442F5" w:rsidRPr="00BA51F1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427155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59 Years 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( Subjected To Maintenance ) </w:t>
            </w:r>
          </w:p>
        </w:tc>
      </w:tr>
    </w:tbl>
    <w:p w14:paraId="12921EA7" w14:textId="77777777" w:rsidR="007C5FED" w:rsidRPr="00BA51F1" w:rsidRDefault="007C5FED" w:rsidP="00BA51F1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BA51F1" w:rsidRDefault="00996221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E6666" w14:textId="77777777" w:rsidR="000D3A83" w:rsidRPr="00BA51F1" w:rsidRDefault="000D3A83" w:rsidP="00BA51F1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4104E9B7" w14:textId="26C820BA" w:rsidR="000D3A83" w:rsidRPr="00BA51F1" w:rsidRDefault="000D3A83" w:rsidP="00BA51F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Copy Of OC  Verified</w:t>
            </w:r>
            <w:r w:rsidR="003F793E" w:rsidRPr="00BA51F1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1BCD8B1B" w14:textId="4DC98305" w:rsidR="000D3A83" w:rsidRPr="00980873" w:rsidRDefault="000D3A83" w:rsidP="00980873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427155" w:rsidRPr="00BA51F1">
              <w:rPr>
                <w:rFonts w:eastAsia="Times New Roman" w:cstheme="minorHAnsi"/>
                <w:b/>
                <w:sz w:val="18"/>
                <w:szCs w:val="18"/>
              </w:rPr>
              <w:t>1972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 </w:t>
            </w:r>
            <w:r w:rsidR="00427155" w:rsidRPr="00BA51F1">
              <w:rPr>
                <w:rFonts w:eastAsia="Times New Roman" w:cstheme="minorHAnsi"/>
                <w:b/>
                <w:sz w:val="18"/>
                <w:szCs w:val="18"/>
              </w:rPr>
              <w:t>27/07/2020</w:t>
            </w:r>
            <w:r w:rsidRPr="00980873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292B66C4" w14:textId="382A9CEC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BA51F1" w:rsidRDefault="00996221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BA51F1" w:rsidRDefault="00996221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BA51F1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BA51F1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BA51F1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BA51F1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BA51F1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BA51F1" w:rsidRDefault="009860C3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BA51F1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BA51F1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BA51F1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BA51F1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BA51F1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BA51F1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BA51F1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BA51F1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60CB8DAC" w:rsidR="009860C3" w:rsidRPr="00BA51F1" w:rsidRDefault="0015168D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563</w:t>
            </w:r>
            <w:r w:rsidR="00ED0AE7" w:rsidRPr="00BA51F1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BA51F1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BA51F1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BA51F1" w:rsidRDefault="00ED0AE7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BA51F1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BA51F1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BA51F1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BA51F1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BA51F1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BA51F1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BA51F1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BA51F1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BA51F1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BA51F1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Rate (per 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BA51F1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BA51F1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6E2371A4" w:rsidR="00452098" w:rsidRPr="00BA51F1" w:rsidRDefault="0015168D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19100</w:t>
            </w:r>
            <w:r w:rsidR="00ED0AE7" w:rsidRPr="00BA51F1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BA51F1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BA51F1" w:rsidRDefault="006E18E3" w:rsidP="00BA51F1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452098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BA51F1" w:rsidRDefault="00452098" w:rsidP="00BA51F1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BA51F1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BA51F1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BA51F1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BA51F1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BA51F1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452098" w:rsidRDefault="00452098" w:rsidP="007D4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BA51F1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BA51F1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BA51F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BA51F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BA51F1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BA51F1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BA51F1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BA51F1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BA51F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BA51F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7AE6FAED" w:rsidR="00452098" w:rsidRPr="00BA51F1" w:rsidRDefault="0015168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Compound</w:t>
            </w:r>
          </w:p>
        </w:tc>
        <w:tc>
          <w:tcPr>
            <w:tcW w:w="2248" w:type="dxa"/>
            <w:gridSpan w:val="2"/>
            <w:hideMark/>
          </w:tcPr>
          <w:p w14:paraId="2A73D56D" w14:textId="3A1486F7" w:rsidR="00452098" w:rsidRPr="00BA51F1" w:rsidRDefault="0015168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1E66CE39" w:rsidR="00452098" w:rsidRPr="00BA51F1" w:rsidRDefault="0015168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1490" w:type="dxa"/>
            <w:gridSpan w:val="2"/>
            <w:hideMark/>
          </w:tcPr>
          <w:p w14:paraId="08A686C2" w14:textId="104E7AEE" w:rsidR="00452098" w:rsidRPr="00BA51F1" w:rsidRDefault="0015168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Building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BA51F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BA51F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4890AEA0" w:rsidR="00452098" w:rsidRPr="00BA51F1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A6979FA" w:rsidR="002F70D7" w:rsidRPr="00BA51F1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58248977" w:rsidR="0018434D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15168D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28/08/2025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07633940" w:rsidR="0018434D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BA51F1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15168D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Ajay Songare</w:t>
            </w:r>
            <w:r w:rsidR="003F793E"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18421056" w:rsidR="0018434D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7. On site we found Mr</w:t>
            </w:r>
            <w:r w:rsidR="00427155" w:rsidRPr="00BA51F1">
              <w:rPr>
                <w:rFonts w:eastAsia="Times New Roman" w:cstheme="minorHAnsi"/>
                <w:b/>
                <w:sz w:val="18"/>
                <w:szCs w:val="18"/>
              </w:rPr>
              <w:t>s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="0015168D" w:rsidRPr="00BA51F1">
              <w:rPr>
                <w:rFonts w:eastAsia="Times New Roman" w:cstheme="minorHAnsi"/>
                <w:b/>
                <w:sz w:val="18"/>
                <w:szCs w:val="18"/>
              </w:rPr>
              <w:t>Kriti (Tenant)</w:t>
            </w:r>
          </w:p>
          <w:p w14:paraId="5BD0AC28" w14:textId="46B43FCA" w:rsidR="00060DA1" w:rsidRPr="00BA51F1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BA51F1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15168D" w:rsidRPr="00BA51F1">
              <w:rPr>
                <w:rFonts w:eastAsia="Times New Roman" w:cstheme="minorHAnsi"/>
                <w:b/>
                <w:sz w:val="18"/>
                <w:szCs w:val="18"/>
              </w:rPr>
              <w:t>OC</w:t>
            </w:r>
            <w:r w:rsidR="00980873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247A0692" w14:textId="32DEA08D" w:rsidR="00CC170D" w:rsidRPr="00BA51F1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15168D" w:rsidRPr="00BA51F1">
              <w:rPr>
                <w:rFonts w:eastAsia="Times New Roman" w:cstheme="minorHAnsi"/>
                <w:b/>
                <w:sz w:val="18"/>
                <w:szCs w:val="18"/>
              </w:rPr>
              <w:t>563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15168D" w:rsidRPr="00BA51F1">
              <w:rPr>
                <w:rFonts w:eastAsia="Times New Roman" w:cstheme="minorHAnsi"/>
                <w:b/>
                <w:sz w:val="18"/>
                <w:szCs w:val="18"/>
              </w:rPr>
              <w:t>675</w:t>
            </w: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785ADFE2" w14:textId="7122DB0B" w:rsidR="00CC170D" w:rsidRPr="00BA51F1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10. </w:t>
            </w:r>
            <w:r w:rsidR="00980873">
              <w:rPr>
                <w:rFonts w:eastAsia="Times New Roman" w:cstheme="minorHAnsi"/>
                <w:b/>
                <w:sz w:val="18"/>
                <w:szCs w:val="18"/>
              </w:rPr>
              <w:t>The copy of area related documents like Sale agreement/Index II not provided to us.</w:t>
            </w:r>
          </w:p>
          <w:p w14:paraId="1975BAB2" w14:textId="78702BA3" w:rsidR="00CC170D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="00980873">
              <w:rPr>
                <w:rFonts w:eastAsia="Times New Roman" w:cstheme="minorHAnsi"/>
                <w:b/>
                <w:sz w:val="18"/>
                <w:szCs w:val="18"/>
              </w:rPr>
              <w:t>The copy of CC &amp; Approved plan not provided to us.</w:t>
            </w:r>
          </w:p>
          <w:p w14:paraId="1C1F3DE5" w14:textId="41F04F7C" w:rsidR="00911071" w:rsidRDefault="00911071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12. </w:t>
            </w:r>
            <w:r w:rsidRPr="00911071">
              <w:rPr>
                <w:rFonts w:eastAsia="Times New Roman" w:cstheme="minorHAnsi"/>
                <w:b/>
                <w:sz w:val="18"/>
                <w:szCs w:val="18"/>
              </w:rPr>
              <w:t>In provided OC The type of subjected property, like residential or commercial, is not mentioned.</w:t>
            </w:r>
          </w:p>
          <w:p w14:paraId="02470A79" w14:textId="3E3B13B0" w:rsidR="00980873" w:rsidRPr="00BA51F1" w:rsidRDefault="00911071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13</w:t>
            </w:r>
            <w:r w:rsidR="00980873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DA41AA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A41AA" w:rsidRPr="00DA41AA">
              <w:rPr>
                <w:rFonts w:eastAsia="Times New Roman" w:cstheme="minorHAnsi"/>
                <w:b/>
                <w:sz w:val="18"/>
                <w:szCs w:val="18"/>
              </w:rPr>
              <w:t>Please find the below cases which is we have already sent query mail but not yet received any solution from your end hence we are send NIL Report.</w:t>
            </w:r>
          </w:p>
          <w:p w14:paraId="006F60D3" w14:textId="71E75CD9" w:rsidR="00E0742B" w:rsidRPr="00BA51F1" w:rsidRDefault="00911071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0742B" w:rsidRPr="00BA51F1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268F9E84" w14:textId="1E617296" w:rsidR="00E0742B" w:rsidRPr="00BA51F1" w:rsidRDefault="00911071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</w:t>
            </w:r>
            <w:bookmarkStart w:id="0" w:name="_GoBack"/>
            <w:bookmarkEnd w:id="0"/>
            <w:r w:rsidR="00E0742B" w:rsidRPr="00BA51F1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15168D" w:rsidRPr="00BA51F1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BA51F1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BA51F1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BA51F1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BA51F1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BA51F1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BA51F1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BA51F1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BA51F1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BA51F1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BA51F1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BA51F1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BA51F1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76CECA0F" w:rsidR="00176360" w:rsidRPr="00BA51F1" w:rsidRDefault="0015168D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19.19139836356873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BA51F1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130023F8" w:rsidR="00176360" w:rsidRPr="00BA51F1" w:rsidRDefault="0015168D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BA51F1">
              <w:rPr>
                <w:rFonts w:eastAsia="Times New Roman" w:cstheme="minorHAnsi"/>
                <w:b/>
                <w:sz w:val="18"/>
                <w:szCs w:val="18"/>
              </w:rPr>
              <w:t>72.96808054732139</w:t>
            </w:r>
          </w:p>
        </w:tc>
      </w:tr>
    </w:tbl>
    <w:p w14:paraId="57ABDD53" w14:textId="170F0979" w:rsidR="00BF75BB" w:rsidRPr="0015168D" w:rsidRDefault="00BF75BB" w:rsidP="0015168D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15168D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D9C84" w14:textId="77777777" w:rsidR="00353601" w:rsidRDefault="00353601">
      <w:pPr>
        <w:spacing w:after="0" w:line="240" w:lineRule="auto"/>
      </w:pPr>
      <w:r>
        <w:separator/>
      </w:r>
    </w:p>
  </w:endnote>
  <w:endnote w:type="continuationSeparator" w:id="0">
    <w:p w14:paraId="418B5583" w14:textId="77777777" w:rsidR="00353601" w:rsidRDefault="0035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798C5756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15168D">
      <w:rPr>
        <w:rFonts w:ascii="Arial" w:hAnsi="Arial" w:cs="Arial"/>
        <w:b/>
        <w:bCs/>
        <w:sz w:val="24"/>
        <w:szCs w:val="24"/>
      </w:rPr>
      <w:t>AUG</w:t>
    </w:r>
    <w:r w:rsidR="006D4B47">
      <w:rPr>
        <w:rFonts w:ascii="Arial" w:hAnsi="Arial" w:cs="Arial"/>
        <w:b/>
        <w:bCs/>
        <w:sz w:val="24"/>
        <w:szCs w:val="24"/>
      </w:rPr>
      <w:t>-25</w:t>
    </w:r>
    <w:r>
      <w:rPr>
        <w:rFonts w:ascii="Arial" w:hAnsi="Arial" w:cs="Arial"/>
        <w:b/>
        <w:bCs/>
        <w:sz w:val="24"/>
        <w:szCs w:val="24"/>
      </w:rPr>
      <w:t>-</w:t>
    </w:r>
    <w:r w:rsidR="0015168D">
      <w:rPr>
        <w:rFonts w:ascii="Arial" w:hAnsi="Arial" w:cs="Arial"/>
        <w:b/>
        <w:bCs/>
        <w:sz w:val="24"/>
        <w:szCs w:val="24"/>
      </w:rPr>
      <w:t>19048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15383" w14:textId="77777777" w:rsidR="00353601" w:rsidRDefault="00353601">
      <w:pPr>
        <w:spacing w:after="0" w:line="240" w:lineRule="auto"/>
      </w:pPr>
      <w:r>
        <w:separator/>
      </w:r>
    </w:p>
  </w:footnote>
  <w:footnote w:type="continuationSeparator" w:id="0">
    <w:p w14:paraId="5ABB1956" w14:textId="77777777" w:rsidR="00353601" w:rsidRDefault="0035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353601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353601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353601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54E1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3F68"/>
    <w:rsid w:val="00147C7C"/>
    <w:rsid w:val="00150970"/>
    <w:rsid w:val="0015130B"/>
    <w:rsid w:val="0015168D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53601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27155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5A34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4B47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497E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071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0873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51F1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41AA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0621-7F56-4B33-88C7-C39D34A2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47</cp:revision>
  <cp:lastPrinted>2016-01-14T11:38:00Z</cp:lastPrinted>
  <dcterms:created xsi:type="dcterms:W3CDTF">2024-07-16T06:27:00Z</dcterms:created>
  <dcterms:modified xsi:type="dcterms:W3CDTF">2025-10-06T07:22:00Z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